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3700" w:type="dxa"/>
        <w:tblInd w:w="93" w:type="dxa"/>
        <w:tblLook w:val="04A0" w:firstRow="1" w:lastRow="0" w:firstColumn="1" w:lastColumn="0" w:noHBand="0" w:noVBand="1"/>
      </w:tblPr>
      <w:tblGrid>
        <w:gridCol w:w="582"/>
        <w:gridCol w:w="2048"/>
        <w:gridCol w:w="2060"/>
        <w:gridCol w:w="8390"/>
        <w:gridCol w:w="620"/>
      </w:tblGrid>
      <w:tr w:rsidR="00083724" w:rsidRPr="00083724" w:rsidTr="00083724">
        <w:trPr>
          <w:trHeight w:val="480"/>
        </w:trPr>
        <w:tc>
          <w:tcPr>
            <w:tcW w:w="13700" w:type="dxa"/>
            <w:gridSpan w:val="5"/>
            <w:tcBorders>
              <w:top w:val="nil"/>
              <w:left w:val="nil"/>
              <w:bottom w:val="nil"/>
              <w:right w:val="nil"/>
            </w:tcBorders>
            <w:shd w:val="clear" w:color="auto" w:fill="auto"/>
            <w:noWrap/>
            <w:vAlign w:val="center"/>
            <w:hideMark/>
          </w:tcPr>
          <w:p w:rsidR="00083724" w:rsidRPr="00083724" w:rsidRDefault="00083724" w:rsidP="00083724">
            <w:pPr>
              <w:widowControl/>
              <w:jc w:val="center"/>
              <w:rPr>
                <w:rFonts w:ascii="黑体" w:eastAsia="黑体" w:hAnsi="黑体" w:cs="宋体"/>
                <w:kern w:val="0"/>
                <w:sz w:val="32"/>
                <w:szCs w:val="32"/>
              </w:rPr>
            </w:pPr>
            <w:r w:rsidRPr="00083724">
              <w:rPr>
                <w:rFonts w:ascii="黑体" w:eastAsia="黑体" w:hAnsi="黑体" w:cs="宋体" w:hint="eastAsia"/>
                <w:kern w:val="0"/>
                <w:sz w:val="32"/>
                <w:szCs w:val="32"/>
              </w:rPr>
              <w:t>车墩镇2022年度社会保障工作考核评分表</w:t>
            </w:r>
          </w:p>
        </w:tc>
      </w:tr>
      <w:tr w:rsidR="00083724" w:rsidRPr="00083724" w:rsidTr="00083724">
        <w:trPr>
          <w:trHeight w:val="540"/>
        </w:trPr>
        <w:tc>
          <w:tcPr>
            <w:tcW w:w="582"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083724" w:rsidRPr="00E610AD" w:rsidRDefault="00083724" w:rsidP="00083724">
            <w:pPr>
              <w:widowControl/>
              <w:jc w:val="center"/>
              <w:rPr>
                <w:rFonts w:asciiTheme="minorEastAsia" w:hAnsiTheme="minorEastAsia" w:cs="宋体"/>
                <w:b/>
                <w:bCs/>
                <w:kern w:val="0"/>
                <w:sz w:val="20"/>
                <w:szCs w:val="20"/>
              </w:rPr>
            </w:pPr>
            <w:r w:rsidRPr="00E610AD">
              <w:rPr>
                <w:rFonts w:asciiTheme="minorEastAsia" w:hAnsiTheme="minorEastAsia" w:cs="宋体" w:hint="eastAsia"/>
                <w:b/>
                <w:bCs/>
                <w:kern w:val="0"/>
                <w:sz w:val="20"/>
                <w:szCs w:val="20"/>
              </w:rPr>
              <w:t>序号</w:t>
            </w:r>
          </w:p>
        </w:tc>
        <w:tc>
          <w:tcPr>
            <w:tcW w:w="2048" w:type="dxa"/>
            <w:tcBorders>
              <w:top w:val="single" w:sz="4" w:space="0" w:color="auto"/>
              <w:left w:val="nil"/>
              <w:bottom w:val="single" w:sz="4" w:space="0" w:color="auto"/>
              <w:right w:val="single" w:sz="4" w:space="0" w:color="auto"/>
            </w:tcBorders>
            <w:shd w:val="clear" w:color="000000" w:fill="FFFFFF"/>
            <w:vAlign w:val="center"/>
            <w:hideMark/>
          </w:tcPr>
          <w:p w:rsidR="00083724" w:rsidRPr="00E610AD" w:rsidRDefault="00083724" w:rsidP="00083724">
            <w:pPr>
              <w:widowControl/>
              <w:jc w:val="center"/>
              <w:rPr>
                <w:rFonts w:asciiTheme="minorEastAsia" w:hAnsiTheme="minorEastAsia" w:cs="宋体"/>
                <w:b/>
                <w:bCs/>
                <w:kern w:val="0"/>
                <w:sz w:val="20"/>
                <w:szCs w:val="20"/>
              </w:rPr>
            </w:pPr>
            <w:r w:rsidRPr="00E610AD">
              <w:rPr>
                <w:rFonts w:asciiTheme="minorEastAsia" w:hAnsiTheme="minorEastAsia" w:cs="宋体" w:hint="eastAsia"/>
                <w:b/>
                <w:bCs/>
                <w:kern w:val="0"/>
                <w:sz w:val="20"/>
                <w:szCs w:val="20"/>
              </w:rPr>
              <w:t>考核项目</w:t>
            </w:r>
          </w:p>
        </w:tc>
        <w:tc>
          <w:tcPr>
            <w:tcW w:w="2060" w:type="dxa"/>
            <w:tcBorders>
              <w:top w:val="single" w:sz="4" w:space="0" w:color="auto"/>
              <w:left w:val="nil"/>
              <w:bottom w:val="single" w:sz="4" w:space="0" w:color="auto"/>
              <w:right w:val="single" w:sz="4" w:space="0" w:color="auto"/>
            </w:tcBorders>
            <w:shd w:val="clear" w:color="000000" w:fill="FFFFFF"/>
            <w:vAlign w:val="center"/>
            <w:hideMark/>
          </w:tcPr>
          <w:p w:rsidR="00083724" w:rsidRPr="00E610AD" w:rsidRDefault="00083724" w:rsidP="00083724">
            <w:pPr>
              <w:widowControl/>
              <w:jc w:val="center"/>
              <w:rPr>
                <w:rFonts w:asciiTheme="minorEastAsia" w:hAnsiTheme="minorEastAsia" w:cs="宋体"/>
                <w:b/>
                <w:bCs/>
                <w:kern w:val="0"/>
                <w:sz w:val="20"/>
                <w:szCs w:val="20"/>
              </w:rPr>
            </w:pPr>
            <w:r w:rsidRPr="00E610AD">
              <w:rPr>
                <w:rFonts w:asciiTheme="minorEastAsia" w:hAnsiTheme="minorEastAsia" w:cs="宋体" w:hint="eastAsia"/>
                <w:b/>
                <w:bCs/>
                <w:kern w:val="0"/>
                <w:sz w:val="20"/>
                <w:szCs w:val="20"/>
              </w:rPr>
              <w:t>考核内容</w:t>
            </w:r>
          </w:p>
        </w:tc>
        <w:tc>
          <w:tcPr>
            <w:tcW w:w="8390" w:type="dxa"/>
            <w:tcBorders>
              <w:top w:val="single" w:sz="4" w:space="0" w:color="auto"/>
              <w:left w:val="nil"/>
              <w:bottom w:val="single" w:sz="4" w:space="0" w:color="auto"/>
              <w:right w:val="single" w:sz="4" w:space="0" w:color="auto"/>
            </w:tcBorders>
            <w:shd w:val="clear" w:color="000000" w:fill="FFFFFF"/>
            <w:vAlign w:val="center"/>
            <w:hideMark/>
          </w:tcPr>
          <w:p w:rsidR="00083724" w:rsidRPr="00E610AD" w:rsidRDefault="00083724" w:rsidP="00083724">
            <w:pPr>
              <w:widowControl/>
              <w:jc w:val="center"/>
              <w:rPr>
                <w:rFonts w:asciiTheme="minorEastAsia" w:hAnsiTheme="minorEastAsia" w:cs="宋体"/>
                <w:b/>
                <w:bCs/>
                <w:kern w:val="0"/>
                <w:sz w:val="20"/>
                <w:szCs w:val="20"/>
              </w:rPr>
            </w:pPr>
            <w:r w:rsidRPr="00E610AD">
              <w:rPr>
                <w:rFonts w:asciiTheme="minorEastAsia" w:hAnsiTheme="minorEastAsia" w:cs="宋体" w:hint="eastAsia"/>
                <w:b/>
                <w:bCs/>
                <w:kern w:val="0"/>
                <w:sz w:val="20"/>
                <w:szCs w:val="20"/>
              </w:rPr>
              <w:t>评分细则</w:t>
            </w:r>
          </w:p>
        </w:tc>
        <w:tc>
          <w:tcPr>
            <w:tcW w:w="620" w:type="dxa"/>
            <w:tcBorders>
              <w:top w:val="single" w:sz="4" w:space="0" w:color="auto"/>
              <w:left w:val="nil"/>
              <w:bottom w:val="single" w:sz="4" w:space="0" w:color="auto"/>
              <w:right w:val="single" w:sz="4" w:space="0" w:color="auto"/>
            </w:tcBorders>
            <w:shd w:val="clear" w:color="000000" w:fill="FFFFFF"/>
            <w:vAlign w:val="center"/>
            <w:hideMark/>
          </w:tcPr>
          <w:p w:rsidR="00083724" w:rsidRPr="00E610AD" w:rsidRDefault="00083724" w:rsidP="00083724">
            <w:pPr>
              <w:widowControl/>
              <w:jc w:val="center"/>
              <w:rPr>
                <w:rFonts w:asciiTheme="minorEastAsia" w:hAnsiTheme="minorEastAsia" w:cs="宋体"/>
                <w:b/>
                <w:bCs/>
                <w:kern w:val="0"/>
                <w:sz w:val="20"/>
                <w:szCs w:val="20"/>
              </w:rPr>
            </w:pPr>
            <w:r w:rsidRPr="00E610AD">
              <w:rPr>
                <w:rFonts w:asciiTheme="minorEastAsia" w:hAnsiTheme="minorEastAsia" w:cs="宋体" w:hint="eastAsia"/>
                <w:b/>
                <w:bCs/>
                <w:kern w:val="0"/>
                <w:sz w:val="20"/>
                <w:szCs w:val="20"/>
              </w:rPr>
              <w:t>分值</w:t>
            </w:r>
          </w:p>
        </w:tc>
      </w:tr>
      <w:tr w:rsidR="00083724" w:rsidRPr="00083724" w:rsidTr="00083724">
        <w:trPr>
          <w:trHeight w:val="780"/>
        </w:trPr>
        <w:tc>
          <w:tcPr>
            <w:tcW w:w="5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hint="eastAsia"/>
                <w:kern w:val="0"/>
                <w:sz w:val="20"/>
                <w:szCs w:val="20"/>
              </w:rPr>
              <w:t>1</w:t>
            </w:r>
          </w:p>
        </w:tc>
        <w:tc>
          <w:tcPr>
            <w:tcW w:w="2048" w:type="dxa"/>
            <w:vMerge w:val="restart"/>
            <w:tcBorders>
              <w:top w:val="nil"/>
              <w:left w:val="single" w:sz="4" w:space="0" w:color="auto"/>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无证行医（20分）</w:t>
            </w:r>
          </w:p>
        </w:tc>
        <w:tc>
          <w:tcPr>
            <w:tcW w:w="2060" w:type="dxa"/>
            <w:vMerge w:val="restart"/>
            <w:tcBorders>
              <w:top w:val="nil"/>
              <w:left w:val="single" w:sz="4" w:space="0" w:color="auto"/>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 xml:space="preserve">防范和打击无证行医  </w:t>
            </w: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color w:val="000000"/>
                <w:kern w:val="0"/>
                <w:sz w:val="20"/>
                <w:szCs w:val="20"/>
              </w:rPr>
            </w:pPr>
            <w:r w:rsidRPr="00E610AD">
              <w:rPr>
                <w:rFonts w:asciiTheme="minorEastAsia" w:hAnsiTheme="minorEastAsia" w:cs="宋体"/>
                <w:color w:val="000000"/>
                <w:kern w:val="0"/>
                <w:sz w:val="20"/>
                <w:szCs w:val="20"/>
              </w:rPr>
              <w:t xml:space="preserve">积极开展日常无证行医巡查，消除无证行医盲点，发现无证行医正在发生及时上报相关部门进行查处。配合开展打击游医等无证行医行为的活动。    </w:t>
            </w:r>
          </w:p>
        </w:tc>
        <w:tc>
          <w:tcPr>
            <w:tcW w:w="620" w:type="dxa"/>
            <w:tcBorders>
              <w:top w:val="nil"/>
              <w:left w:val="nil"/>
              <w:bottom w:val="single" w:sz="4" w:space="0" w:color="auto"/>
              <w:right w:val="single" w:sz="4" w:space="0" w:color="auto"/>
            </w:tcBorders>
            <w:shd w:val="clear" w:color="auto" w:fill="auto"/>
            <w:noWrap/>
            <w:vAlign w:val="center"/>
            <w:hideMark/>
          </w:tcPr>
          <w:p w:rsidR="00083724" w:rsidRPr="00E610AD" w:rsidRDefault="00083724" w:rsidP="00083724">
            <w:pPr>
              <w:widowControl/>
              <w:jc w:val="center"/>
              <w:rPr>
                <w:rFonts w:asciiTheme="minorEastAsia" w:hAnsiTheme="minorEastAsia" w:cs="宋体"/>
                <w:color w:val="000000"/>
                <w:kern w:val="0"/>
                <w:sz w:val="20"/>
                <w:szCs w:val="20"/>
              </w:rPr>
            </w:pPr>
            <w:r w:rsidRPr="00E610AD">
              <w:rPr>
                <w:rFonts w:asciiTheme="minorEastAsia" w:hAnsiTheme="minorEastAsia" w:cs="宋体"/>
                <w:color w:val="000000"/>
                <w:kern w:val="0"/>
                <w:sz w:val="20"/>
                <w:szCs w:val="20"/>
              </w:rPr>
              <w:t>5</w:t>
            </w:r>
          </w:p>
        </w:tc>
      </w:tr>
      <w:tr w:rsidR="00083724" w:rsidRPr="00083724" w:rsidTr="00083724">
        <w:trPr>
          <w:trHeight w:val="780"/>
        </w:trPr>
        <w:tc>
          <w:tcPr>
            <w:tcW w:w="582"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48"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60"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color w:val="000000"/>
                <w:kern w:val="0"/>
                <w:sz w:val="20"/>
                <w:szCs w:val="20"/>
              </w:rPr>
            </w:pPr>
            <w:r w:rsidRPr="00E610AD">
              <w:rPr>
                <w:rFonts w:asciiTheme="minorEastAsia" w:hAnsiTheme="minorEastAsia" w:cs="宋体"/>
                <w:color w:val="000000"/>
                <w:kern w:val="0"/>
                <w:sz w:val="20"/>
                <w:szCs w:val="20"/>
              </w:rPr>
              <w:t>每月及时报送无证行医排查信息，按时报送年度工作计划和工作总结。信息上报及时率100%。</w:t>
            </w:r>
          </w:p>
        </w:tc>
        <w:tc>
          <w:tcPr>
            <w:tcW w:w="620" w:type="dxa"/>
            <w:tcBorders>
              <w:top w:val="nil"/>
              <w:left w:val="nil"/>
              <w:bottom w:val="single" w:sz="4" w:space="0" w:color="auto"/>
              <w:right w:val="single" w:sz="4" w:space="0" w:color="auto"/>
            </w:tcBorders>
            <w:shd w:val="clear" w:color="auto" w:fill="auto"/>
            <w:noWrap/>
            <w:vAlign w:val="center"/>
            <w:hideMark/>
          </w:tcPr>
          <w:p w:rsidR="00083724" w:rsidRPr="00E610AD" w:rsidRDefault="00083724" w:rsidP="00083724">
            <w:pPr>
              <w:widowControl/>
              <w:jc w:val="center"/>
              <w:rPr>
                <w:rFonts w:asciiTheme="minorEastAsia" w:hAnsiTheme="minorEastAsia" w:cs="宋体"/>
                <w:color w:val="000000"/>
                <w:kern w:val="0"/>
                <w:sz w:val="20"/>
                <w:szCs w:val="20"/>
              </w:rPr>
            </w:pPr>
            <w:r w:rsidRPr="00E610AD">
              <w:rPr>
                <w:rFonts w:asciiTheme="minorEastAsia" w:hAnsiTheme="minorEastAsia" w:cs="宋体"/>
                <w:color w:val="000000"/>
                <w:kern w:val="0"/>
                <w:sz w:val="20"/>
                <w:szCs w:val="20"/>
              </w:rPr>
              <w:t>2</w:t>
            </w:r>
          </w:p>
        </w:tc>
      </w:tr>
      <w:tr w:rsidR="00083724" w:rsidRPr="00083724" w:rsidTr="00083724">
        <w:trPr>
          <w:trHeight w:val="780"/>
        </w:trPr>
        <w:tc>
          <w:tcPr>
            <w:tcW w:w="582"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48"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60"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color w:val="000000"/>
                <w:kern w:val="0"/>
                <w:sz w:val="20"/>
                <w:szCs w:val="20"/>
              </w:rPr>
            </w:pPr>
            <w:r w:rsidRPr="00E610AD">
              <w:rPr>
                <w:rFonts w:asciiTheme="minorEastAsia" w:hAnsiTheme="minorEastAsia" w:cs="宋体"/>
                <w:color w:val="000000"/>
                <w:kern w:val="0"/>
                <w:sz w:val="20"/>
                <w:szCs w:val="20"/>
              </w:rPr>
              <w:t>开展日常宣传的基础上，在重点场所如流动人口较集中的城中村、农贸市场、工地、随迁子女集中的学校和托幼机构、社区等，开展无证行医宣传活动至少1次。</w:t>
            </w:r>
          </w:p>
        </w:tc>
        <w:tc>
          <w:tcPr>
            <w:tcW w:w="620" w:type="dxa"/>
            <w:tcBorders>
              <w:top w:val="nil"/>
              <w:left w:val="nil"/>
              <w:bottom w:val="single" w:sz="4" w:space="0" w:color="auto"/>
              <w:right w:val="single" w:sz="4" w:space="0" w:color="auto"/>
            </w:tcBorders>
            <w:shd w:val="clear" w:color="auto" w:fill="auto"/>
            <w:noWrap/>
            <w:vAlign w:val="center"/>
            <w:hideMark/>
          </w:tcPr>
          <w:p w:rsidR="00083724" w:rsidRPr="00E610AD" w:rsidRDefault="00083724" w:rsidP="00083724">
            <w:pPr>
              <w:widowControl/>
              <w:jc w:val="center"/>
              <w:rPr>
                <w:rFonts w:asciiTheme="minorEastAsia" w:hAnsiTheme="minorEastAsia" w:cs="宋体"/>
                <w:color w:val="000000"/>
                <w:kern w:val="0"/>
                <w:sz w:val="20"/>
                <w:szCs w:val="20"/>
              </w:rPr>
            </w:pPr>
            <w:r w:rsidRPr="00E610AD">
              <w:rPr>
                <w:rFonts w:asciiTheme="minorEastAsia" w:hAnsiTheme="minorEastAsia" w:cs="宋体"/>
                <w:color w:val="000000"/>
                <w:kern w:val="0"/>
                <w:sz w:val="20"/>
                <w:szCs w:val="20"/>
              </w:rPr>
              <w:t>2</w:t>
            </w:r>
          </w:p>
        </w:tc>
      </w:tr>
      <w:tr w:rsidR="00083724" w:rsidRPr="00083724" w:rsidTr="00083724">
        <w:trPr>
          <w:trHeight w:val="559"/>
        </w:trPr>
        <w:tc>
          <w:tcPr>
            <w:tcW w:w="582"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48"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60"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color w:val="000000"/>
                <w:kern w:val="0"/>
                <w:sz w:val="20"/>
                <w:szCs w:val="20"/>
              </w:rPr>
            </w:pPr>
            <w:r w:rsidRPr="00E610AD">
              <w:rPr>
                <w:rFonts w:asciiTheme="minorEastAsia" w:hAnsiTheme="minorEastAsia" w:cs="宋体"/>
                <w:color w:val="000000"/>
                <w:kern w:val="0"/>
                <w:sz w:val="20"/>
                <w:szCs w:val="20"/>
              </w:rPr>
              <w:t xml:space="preserve">对涉嫌出租房屋给无证行医人的房东配合开展告诫谈话并发放房东告知书。    </w:t>
            </w:r>
          </w:p>
        </w:tc>
        <w:tc>
          <w:tcPr>
            <w:tcW w:w="620" w:type="dxa"/>
            <w:tcBorders>
              <w:top w:val="nil"/>
              <w:left w:val="nil"/>
              <w:bottom w:val="single" w:sz="4" w:space="0" w:color="auto"/>
              <w:right w:val="single" w:sz="4" w:space="0" w:color="auto"/>
            </w:tcBorders>
            <w:shd w:val="clear" w:color="auto" w:fill="auto"/>
            <w:noWrap/>
            <w:vAlign w:val="center"/>
            <w:hideMark/>
          </w:tcPr>
          <w:p w:rsidR="00083724" w:rsidRPr="00E610AD" w:rsidRDefault="00083724" w:rsidP="00083724">
            <w:pPr>
              <w:widowControl/>
              <w:jc w:val="center"/>
              <w:rPr>
                <w:rFonts w:asciiTheme="minorEastAsia" w:hAnsiTheme="minorEastAsia" w:cs="宋体"/>
                <w:color w:val="000000"/>
                <w:kern w:val="0"/>
                <w:sz w:val="20"/>
                <w:szCs w:val="20"/>
              </w:rPr>
            </w:pPr>
            <w:r w:rsidRPr="00E610AD">
              <w:rPr>
                <w:rFonts w:asciiTheme="minorEastAsia" w:hAnsiTheme="minorEastAsia" w:cs="宋体"/>
                <w:color w:val="000000"/>
                <w:kern w:val="0"/>
                <w:sz w:val="20"/>
                <w:szCs w:val="20"/>
              </w:rPr>
              <w:t>1</w:t>
            </w:r>
          </w:p>
        </w:tc>
      </w:tr>
      <w:tr w:rsidR="00083724" w:rsidRPr="00083724" w:rsidTr="00083724">
        <w:trPr>
          <w:trHeight w:val="559"/>
        </w:trPr>
        <w:tc>
          <w:tcPr>
            <w:tcW w:w="582"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48"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60"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color w:val="000000"/>
                <w:kern w:val="0"/>
                <w:sz w:val="20"/>
                <w:szCs w:val="20"/>
              </w:rPr>
            </w:pPr>
            <w:r w:rsidRPr="00E610AD">
              <w:rPr>
                <w:rFonts w:asciiTheme="minorEastAsia" w:hAnsiTheme="minorEastAsia" w:cs="宋体"/>
                <w:color w:val="000000"/>
                <w:kern w:val="0"/>
                <w:sz w:val="20"/>
                <w:szCs w:val="20"/>
              </w:rPr>
              <w:t>不发生无证行医致人死亡、伤残或被媒体曝光事件（关键项）。</w:t>
            </w:r>
          </w:p>
        </w:tc>
        <w:tc>
          <w:tcPr>
            <w:tcW w:w="620" w:type="dxa"/>
            <w:tcBorders>
              <w:top w:val="nil"/>
              <w:left w:val="nil"/>
              <w:bottom w:val="single" w:sz="4" w:space="0" w:color="auto"/>
              <w:right w:val="single" w:sz="4" w:space="0" w:color="auto"/>
            </w:tcBorders>
            <w:shd w:val="clear" w:color="auto" w:fill="auto"/>
            <w:noWrap/>
            <w:vAlign w:val="center"/>
            <w:hideMark/>
          </w:tcPr>
          <w:p w:rsidR="00083724" w:rsidRPr="00E610AD" w:rsidRDefault="00083724" w:rsidP="00083724">
            <w:pPr>
              <w:widowControl/>
              <w:jc w:val="center"/>
              <w:rPr>
                <w:rFonts w:asciiTheme="minorEastAsia" w:hAnsiTheme="minorEastAsia" w:cs="宋体"/>
                <w:color w:val="000000"/>
                <w:kern w:val="0"/>
                <w:sz w:val="20"/>
                <w:szCs w:val="20"/>
              </w:rPr>
            </w:pPr>
            <w:r w:rsidRPr="00E610AD">
              <w:rPr>
                <w:rFonts w:asciiTheme="minorEastAsia" w:hAnsiTheme="minorEastAsia" w:cs="宋体"/>
                <w:color w:val="000000"/>
                <w:kern w:val="0"/>
                <w:sz w:val="20"/>
                <w:szCs w:val="20"/>
              </w:rPr>
              <w:t>10</w:t>
            </w:r>
          </w:p>
        </w:tc>
      </w:tr>
      <w:tr w:rsidR="00083724" w:rsidRPr="00083724" w:rsidTr="00083724">
        <w:trPr>
          <w:trHeight w:val="559"/>
        </w:trPr>
        <w:tc>
          <w:tcPr>
            <w:tcW w:w="5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hint="eastAsia"/>
                <w:kern w:val="0"/>
                <w:sz w:val="20"/>
                <w:szCs w:val="20"/>
              </w:rPr>
              <w:t>2</w:t>
            </w:r>
          </w:p>
        </w:tc>
        <w:tc>
          <w:tcPr>
            <w:tcW w:w="2048"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居无定所人员（5分）</w:t>
            </w:r>
          </w:p>
        </w:tc>
        <w:tc>
          <w:tcPr>
            <w:tcW w:w="2060" w:type="dxa"/>
            <w:vMerge w:val="restart"/>
            <w:tcBorders>
              <w:top w:val="nil"/>
              <w:left w:val="single" w:sz="4" w:space="0" w:color="auto"/>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color w:val="000000"/>
                <w:kern w:val="0"/>
                <w:sz w:val="20"/>
                <w:szCs w:val="20"/>
              </w:rPr>
            </w:pPr>
            <w:r w:rsidRPr="00E610AD">
              <w:rPr>
                <w:rFonts w:asciiTheme="minorEastAsia" w:hAnsiTheme="minorEastAsia" w:cs="宋体"/>
                <w:color w:val="000000"/>
                <w:kern w:val="0"/>
                <w:sz w:val="20"/>
                <w:szCs w:val="20"/>
              </w:rPr>
              <w:t>居无定所人员整治</w:t>
            </w: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color w:val="000000"/>
                <w:kern w:val="0"/>
                <w:sz w:val="20"/>
                <w:szCs w:val="20"/>
              </w:rPr>
            </w:pPr>
            <w:r w:rsidRPr="00E610AD">
              <w:rPr>
                <w:rFonts w:asciiTheme="minorEastAsia" w:hAnsiTheme="minorEastAsia" w:cs="宋体"/>
                <w:color w:val="000000"/>
                <w:kern w:val="0"/>
                <w:sz w:val="20"/>
                <w:szCs w:val="20"/>
              </w:rPr>
              <w:t>积极开展日常巡查，发现居无定所人员及时上报相关部门。</w:t>
            </w:r>
          </w:p>
        </w:tc>
        <w:tc>
          <w:tcPr>
            <w:tcW w:w="620" w:type="dxa"/>
            <w:tcBorders>
              <w:top w:val="nil"/>
              <w:left w:val="nil"/>
              <w:bottom w:val="single" w:sz="4" w:space="0" w:color="auto"/>
              <w:right w:val="single" w:sz="4" w:space="0" w:color="auto"/>
            </w:tcBorders>
            <w:shd w:val="clear" w:color="auto" w:fill="auto"/>
            <w:noWrap/>
            <w:vAlign w:val="center"/>
            <w:hideMark/>
          </w:tcPr>
          <w:p w:rsidR="00083724" w:rsidRPr="00E610AD" w:rsidRDefault="00083724" w:rsidP="00083724">
            <w:pPr>
              <w:widowControl/>
              <w:jc w:val="center"/>
              <w:rPr>
                <w:rFonts w:asciiTheme="minorEastAsia" w:hAnsiTheme="minorEastAsia" w:cs="宋体"/>
                <w:color w:val="000000"/>
                <w:kern w:val="0"/>
                <w:sz w:val="20"/>
                <w:szCs w:val="20"/>
              </w:rPr>
            </w:pPr>
            <w:r w:rsidRPr="00E610AD">
              <w:rPr>
                <w:rFonts w:asciiTheme="minorEastAsia" w:hAnsiTheme="minorEastAsia" w:cs="宋体"/>
                <w:color w:val="000000"/>
                <w:kern w:val="0"/>
                <w:sz w:val="20"/>
                <w:szCs w:val="20"/>
              </w:rPr>
              <w:t>3</w:t>
            </w:r>
          </w:p>
        </w:tc>
      </w:tr>
      <w:tr w:rsidR="00083724" w:rsidRPr="00083724" w:rsidTr="00083724">
        <w:trPr>
          <w:trHeight w:val="559"/>
        </w:trPr>
        <w:tc>
          <w:tcPr>
            <w:tcW w:w="582"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48"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60"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color w:val="000000"/>
                <w:kern w:val="0"/>
                <w:sz w:val="20"/>
                <w:szCs w:val="20"/>
              </w:rPr>
            </w:pP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color w:val="000000"/>
                <w:kern w:val="0"/>
                <w:sz w:val="20"/>
                <w:szCs w:val="20"/>
              </w:rPr>
            </w:pPr>
            <w:r w:rsidRPr="00E610AD">
              <w:rPr>
                <w:rFonts w:asciiTheme="minorEastAsia" w:hAnsiTheme="minorEastAsia" w:cs="宋体"/>
                <w:color w:val="000000"/>
                <w:kern w:val="0"/>
                <w:sz w:val="20"/>
                <w:szCs w:val="20"/>
              </w:rPr>
              <w:t>配合开展居无定所人员专项整治。</w:t>
            </w:r>
          </w:p>
        </w:tc>
        <w:tc>
          <w:tcPr>
            <w:tcW w:w="620" w:type="dxa"/>
            <w:tcBorders>
              <w:top w:val="nil"/>
              <w:left w:val="nil"/>
              <w:bottom w:val="single" w:sz="4" w:space="0" w:color="auto"/>
              <w:right w:val="single" w:sz="4" w:space="0" w:color="auto"/>
            </w:tcBorders>
            <w:shd w:val="clear" w:color="auto" w:fill="auto"/>
            <w:noWrap/>
            <w:vAlign w:val="center"/>
            <w:hideMark/>
          </w:tcPr>
          <w:p w:rsidR="00083724" w:rsidRPr="00E610AD" w:rsidRDefault="00083724" w:rsidP="00083724">
            <w:pPr>
              <w:widowControl/>
              <w:jc w:val="center"/>
              <w:rPr>
                <w:rFonts w:asciiTheme="minorEastAsia" w:hAnsiTheme="minorEastAsia" w:cs="宋体"/>
                <w:color w:val="000000"/>
                <w:kern w:val="0"/>
                <w:sz w:val="20"/>
                <w:szCs w:val="20"/>
              </w:rPr>
            </w:pPr>
            <w:r w:rsidRPr="00E610AD">
              <w:rPr>
                <w:rFonts w:asciiTheme="minorEastAsia" w:hAnsiTheme="minorEastAsia" w:cs="宋体"/>
                <w:color w:val="000000"/>
                <w:kern w:val="0"/>
                <w:sz w:val="20"/>
                <w:szCs w:val="20"/>
              </w:rPr>
              <w:t>2</w:t>
            </w:r>
          </w:p>
        </w:tc>
      </w:tr>
      <w:tr w:rsidR="00083724" w:rsidRPr="00083724" w:rsidTr="00083724">
        <w:trPr>
          <w:trHeight w:val="720"/>
        </w:trPr>
        <w:tc>
          <w:tcPr>
            <w:tcW w:w="5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hint="eastAsia"/>
                <w:kern w:val="0"/>
                <w:sz w:val="20"/>
                <w:szCs w:val="20"/>
              </w:rPr>
              <w:t>3</w:t>
            </w:r>
          </w:p>
        </w:tc>
        <w:tc>
          <w:tcPr>
            <w:tcW w:w="2048" w:type="dxa"/>
            <w:vMerge w:val="restart"/>
            <w:tcBorders>
              <w:top w:val="nil"/>
              <w:left w:val="single" w:sz="4" w:space="0" w:color="auto"/>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群体性劳资纠纷处置（10分）</w:t>
            </w:r>
          </w:p>
        </w:tc>
        <w:tc>
          <w:tcPr>
            <w:tcW w:w="206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日常监督检查</w:t>
            </w:r>
          </w:p>
        </w:tc>
        <w:tc>
          <w:tcPr>
            <w:tcW w:w="8390" w:type="dxa"/>
            <w:tcBorders>
              <w:top w:val="nil"/>
              <w:left w:val="nil"/>
              <w:bottom w:val="single" w:sz="4" w:space="0" w:color="auto"/>
              <w:right w:val="single" w:sz="4" w:space="0" w:color="auto"/>
            </w:tcBorders>
            <w:shd w:val="clear" w:color="000000" w:fill="FFFFFF"/>
            <w:vAlign w:val="center"/>
            <w:hideMark/>
          </w:tcPr>
          <w:p w:rsidR="00083724" w:rsidRPr="00E610AD" w:rsidRDefault="00083724" w:rsidP="00083724">
            <w:pPr>
              <w:widowControl/>
              <w:jc w:val="left"/>
              <w:rPr>
                <w:rFonts w:asciiTheme="minorEastAsia" w:hAnsiTheme="minorEastAsia" w:cs="宋体"/>
                <w:kern w:val="0"/>
                <w:sz w:val="20"/>
                <w:szCs w:val="20"/>
              </w:rPr>
            </w:pPr>
            <w:r w:rsidRPr="00E610AD">
              <w:rPr>
                <w:rFonts w:asciiTheme="minorEastAsia" w:hAnsiTheme="minorEastAsia" w:cs="宋体"/>
                <w:kern w:val="0"/>
                <w:sz w:val="20"/>
                <w:szCs w:val="20"/>
              </w:rPr>
              <w:t>主动宣传推动贯彻落实劳动保障法律法规政策，及时反馈辖区内劳动关系状况，协助镇级劳资纠纷处置。</w:t>
            </w:r>
          </w:p>
        </w:tc>
        <w:tc>
          <w:tcPr>
            <w:tcW w:w="620" w:type="dxa"/>
            <w:tcBorders>
              <w:top w:val="nil"/>
              <w:left w:val="nil"/>
              <w:bottom w:val="single" w:sz="4" w:space="0" w:color="auto"/>
              <w:right w:val="single" w:sz="4" w:space="0" w:color="auto"/>
            </w:tcBorders>
            <w:shd w:val="clear" w:color="000000" w:fill="FFFFFF"/>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5</w:t>
            </w:r>
          </w:p>
        </w:tc>
      </w:tr>
      <w:tr w:rsidR="00083724" w:rsidRPr="00083724" w:rsidTr="00083724">
        <w:trPr>
          <w:trHeight w:val="690"/>
        </w:trPr>
        <w:tc>
          <w:tcPr>
            <w:tcW w:w="582"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48"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反馈专项排摸等协查信息</w:t>
            </w:r>
          </w:p>
        </w:tc>
        <w:tc>
          <w:tcPr>
            <w:tcW w:w="8390" w:type="dxa"/>
            <w:tcBorders>
              <w:top w:val="nil"/>
              <w:left w:val="nil"/>
              <w:bottom w:val="single" w:sz="4" w:space="0" w:color="auto"/>
              <w:right w:val="single" w:sz="4" w:space="0" w:color="auto"/>
            </w:tcBorders>
            <w:shd w:val="clear" w:color="000000" w:fill="FFFFFF"/>
            <w:vAlign w:val="center"/>
            <w:hideMark/>
          </w:tcPr>
          <w:p w:rsidR="00083724" w:rsidRPr="00E610AD" w:rsidRDefault="00083724" w:rsidP="00083724">
            <w:pPr>
              <w:widowControl/>
              <w:jc w:val="left"/>
              <w:rPr>
                <w:rFonts w:asciiTheme="minorEastAsia" w:hAnsiTheme="minorEastAsia" w:cs="宋体"/>
                <w:kern w:val="0"/>
                <w:sz w:val="20"/>
                <w:szCs w:val="20"/>
              </w:rPr>
            </w:pPr>
            <w:r w:rsidRPr="00E610AD">
              <w:rPr>
                <w:rFonts w:asciiTheme="minorEastAsia" w:hAnsiTheme="minorEastAsia" w:cs="宋体"/>
                <w:kern w:val="0"/>
                <w:sz w:val="20"/>
                <w:szCs w:val="20"/>
              </w:rPr>
              <w:t>做好日常专项排摸信息收集，主动收集、掌握相关排查信息的完整性，确保信息的完整性和及时性。</w:t>
            </w:r>
          </w:p>
        </w:tc>
        <w:tc>
          <w:tcPr>
            <w:tcW w:w="620" w:type="dxa"/>
            <w:tcBorders>
              <w:top w:val="nil"/>
              <w:left w:val="nil"/>
              <w:bottom w:val="single" w:sz="4" w:space="0" w:color="auto"/>
              <w:right w:val="single" w:sz="4" w:space="0" w:color="auto"/>
            </w:tcBorders>
            <w:shd w:val="clear" w:color="000000" w:fill="FFFFFF"/>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5</w:t>
            </w:r>
          </w:p>
        </w:tc>
      </w:tr>
      <w:tr w:rsidR="00083724" w:rsidRPr="00083724" w:rsidTr="00083724">
        <w:trPr>
          <w:trHeight w:val="1335"/>
        </w:trPr>
        <w:tc>
          <w:tcPr>
            <w:tcW w:w="5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hint="eastAsia"/>
                <w:kern w:val="0"/>
                <w:sz w:val="20"/>
                <w:szCs w:val="20"/>
              </w:rPr>
              <w:t>4</w:t>
            </w:r>
          </w:p>
        </w:tc>
        <w:tc>
          <w:tcPr>
            <w:tcW w:w="2048" w:type="dxa"/>
            <w:vMerge w:val="restart"/>
            <w:tcBorders>
              <w:top w:val="nil"/>
              <w:left w:val="single" w:sz="4" w:space="0" w:color="auto"/>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规范劳动力市场秩序（15分）</w:t>
            </w:r>
          </w:p>
        </w:tc>
        <w:tc>
          <w:tcPr>
            <w:tcW w:w="206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日常排查</w:t>
            </w: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kern w:val="0"/>
                <w:sz w:val="20"/>
                <w:szCs w:val="20"/>
              </w:rPr>
            </w:pPr>
            <w:r w:rsidRPr="00E610AD">
              <w:rPr>
                <w:rFonts w:asciiTheme="minorEastAsia" w:hAnsiTheme="minorEastAsia" w:cs="宋体"/>
                <w:kern w:val="0"/>
                <w:sz w:val="20"/>
                <w:szCs w:val="20"/>
              </w:rPr>
              <w:t>做好辖区内劳务中介的日常排查工作，主动上报线索，制止发生在本辖区内的违法行为，对难以制止的违法行为以及发生的治安案件、涉嫌刑事犯罪案件，应当立即报警。及时上报信息且未发生违法事件的，不扣分；虽已及时上报信息但发生违法事件的，扣2分/件；未及时上报信息且发生违法事件的，扣3分/件。</w:t>
            </w:r>
          </w:p>
        </w:tc>
        <w:tc>
          <w:tcPr>
            <w:tcW w:w="62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10</w:t>
            </w:r>
          </w:p>
        </w:tc>
      </w:tr>
      <w:tr w:rsidR="00083724" w:rsidRPr="00083724" w:rsidTr="00A51B73">
        <w:trPr>
          <w:trHeight w:val="1082"/>
        </w:trPr>
        <w:tc>
          <w:tcPr>
            <w:tcW w:w="582"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48"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6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规范经营</w:t>
            </w: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kern w:val="0"/>
                <w:sz w:val="20"/>
                <w:szCs w:val="20"/>
              </w:rPr>
            </w:pPr>
            <w:r w:rsidRPr="00E610AD">
              <w:rPr>
                <w:rFonts w:asciiTheme="minorEastAsia" w:hAnsiTheme="minorEastAsia" w:cs="宋体"/>
                <w:kern w:val="0"/>
                <w:sz w:val="20"/>
                <w:szCs w:val="20"/>
              </w:rPr>
              <w:t>辖区内劳务中介经营规范，发现证照不齐全、非法经营的立即上报至上级部门，及时上报信息且不存在非法经营的不扣分；上报信息且存在非法经营的扣2分/件；未上报信息且存在非法经营的不得分。</w:t>
            </w:r>
          </w:p>
        </w:tc>
        <w:tc>
          <w:tcPr>
            <w:tcW w:w="62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5</w:t>
            </w:r>
          </w:p>
        </w:tc>
      </w:tr>
      <w:tr w:rsidR="00083724" w:rsidRPr="00083724" w:rsidTr="00083724">
        <w:trPr>
          <w:trHeight w:val="720"/>
        </w:trPr>
        <w:tc>
          <w:tcPr>
            <w:tcW w:w="582"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hint="eastAsia"/>
                <w:kern w:val="0"/>
                <w:sz w:val="20"/>
                <w:szCs w:val="20"/>
              </w:rPr>
              <w:lastRenderedPageBreak/>
              <w:t>5</w:t>
            </w:r>
          </w:p>
        </w:tc>
        <w:tc>
          <w:tcPr>
            <w:tcW w:w="2048" w:type="dxa"/>
            <w:vMerge w:val="restart"/>
            <w:tcBorders>
              <w:top w:val="nil"/>
              <w:left w:val="single" w:sz="4" w:space="0" w:color="auto"/>
              <w:bottom w:val="nil"/>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社会救助和慈善帮困（50分）</w:t>
            </w:r>
          </w:p>
        </w:tc>
        <w:tc>
          <w:tcPr>
            <w:tcW w:w="206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组织队伍保障</w:t>
            </w: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kern w:val="0"/>
                <w:sz w:val="20"/>
                <w:szCs w:val="20"/>
              </w:rPr>
            </w:pPr>
            <w:r w:rsidRPr="00E610AD">
              <w:rPr>
                <w:rFonts w:asciiTheme="minorEastAsia" w:hAnsiTheme="minorEastAsia" w:cs="宋体"/>
                <w:kern w:val="0"/>
                <w:sz w:val="20"/>
                <w:szCs w:val="20"/>
              </w:rPr>
              <w:t>做实社会救助及慈善帮扶评估工作小组，具有明确的岗位职责分工，在具体实施救助评估时达到应</w:t>
            </w:r>
            <w:proofErr w:type="gramStart"/>
            <w:r w:rsidRPr="00E610AD">
              <w:rPr>
                <w:rFonts w:asciiTheme="minorEastAsia" w:hAnsiTheme="minorEastAsia" w:cs="宋体"/>
                <w:kern w:val="0"/>
                <w:sz w:val="20"/>
                <w:szCs w:val="20"/>
              </w:rPr>
              <w:t>救尽救的</w:t>
            </w:r>
            <w:proofErr w:type="gramEnd"/>
            <w:r w:rsidRPr="00E610AD">
              <w:rPr>
                <w:rFonts w:asciiTheme="minorEastAsia" w:hAnsiTheme="minorEastAsia" w:cs="宋体"/>
                <w:kern w:val="0"/>
                <w:sz w:val="20"/>
                <w:szCs w:val="20"/>
              </w:rPr>
              <w:t>不扣分，发生应</w:t>
            </w:r>
            <w:proofErr w:type="gramStart"/>
            <w:r w:rsidRPr="00E610AD">
              <w:rPr>
                <w:rFonts w:asciiTheme="minorEastAsia" w:hAnsiTheme="minorEastAsia" w:cs="宋体"/>
                <w:kern w:val="0"/>
                <w:sz w:val="20"/>
                <w:szCs w:val="20"/>
              </w:rPr>
              <w:t>救未救</w:t>
            </w:r>
            <w:proofErr w:type="gramEnd"/>
            <w:r w:rsidRPr="00E610AD">
              <w:rPr>
                <w:rFonts w:asciiTheme="minorEastAsia" w:hAnsiTheme="minorEastAsia" w:cs="宋体"/>
                <w:kern w:val="0"/>
                <w:sz w:val="20"/>
                <w:szCs w:val="20"/>
              </w:rPr>
              <w:t>的扣2分/件，直至扣完。</w:t>
            </w:r>
          </w:p>
        </w:tc>
        <w:tc>
          <w:tcPr>
            <w:tcW w:w="62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8</w:t>
            </w:r>
          </w:p>
        </w:tc>
      </w:tr>
      <w:tr w:rsidR="00083724" w:rsidRPr="00083724" w:rsidTr="00083724">
        <w:trPr>
          <w:trHeight w:val="720"/>
        </w:trPr>
        <w:tc>
          <w:tcPr>
            <w:tcW w:w="582"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48" w:type="dxa"/>
            <w:vMerge/>
            <w:tcBorders>
              <w:top w:val="nil"/>
              <w:left w:val="single" w:sz="4" w:space="0" w:color="auto"/>
              <w:bottom w:val="nil"/>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60" w:type="dxa"/>
            <w:vMerge w:val="restart"/>
            <w:tcBorders>
              <w:top w:val="nil"/>
              <w:left w:val="single" w:sz="4" w:space="0" w:color="auto"/>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日常监督检查</w:t>
            </w: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kern w:val="0"/>
                <w:sz w:val="20"/>
                <w:szCs w:val="20"/>
              </w:rPr>
            </w:pPr>
            <w:r w:rsidRPr="00E610AD">
              <w:rPr>
                <w:rFonts w:asciiTheme="minorEastAsia" w:hAnsiTheme="minorEastAsia" w:cs="宋体"/>
                <w:kern w:val="0"/>
                <w:sz w:val="20"/>
                <w:szCs w:val="20"/>
              </w:rPr>
              <w:t>按要求公布投诉电话与举报渠道，且字体、位置醒目的不扣分；不公布投诉电话与举报渠道的，不得分，虽公布但字体、位置不醒目的不得分。</w:t>
            </w:r>
          </w:p>
        </w:tc>
        <w:tc>
          <w:tcPr>
            <w:tcW w:w="62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2</w:t>
            </w:r>
          </w:p>
        </w:tc>
      </w:tr>
      <w:tr w:rsidR="00083724" w:rsidRPr="00083724" w:rsidTr="00083724">
        <w:trPr>
          <w:trHeight w:val="942"/>
        </w:trPr>
        <w:tc>
          <w:tcPr>
            <w:tcW w:w="582"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48" w:type="dxa"/>
            <w:vMerge/>
            <w:tcBorders>
              <w:top w:val="nil"/>
              <w:left w:val="single" w:sz="4" w:space="0" w:color="auto"/>
              <w:bottom w:val="nil"/>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60"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kern w:val="0"/>
                <w:sz w:val="20"/>
                <w:szCs w:val="20"/>
              </w:rPr>
            </w:pPr>
            <w:r w:rsidRPr="00E610AD">
              <w:rPr>
                <w:rFonts w:asciiTheme="minorEastAsia" w:hAnsiTheme="minorEastAsia" w:cs="宋体"/>
                <w:kern w:val="0"/>
                <w:sz w:val="20"/>
                <w:szCs w:val="20"/>
              </w:rPr>
              <w:t>年内无投诉件或有</w:t>
            </w:r>
            <w:proofErr w:type="gramStart"/>
            <w:r w:rsidRPr="00E610AD">
              <w:rPr>
                <w:rFonts w:asciiTheme="minorEastAsia" w:hAnsiTheme="minorEastAsia" w:cs="宋体"/>
                <w:kern w:val="0"/>
                <w:sz w:val="20"/>
                <w:szCs w:val="20"/>
              </w:rPr>
              <w:t>投诉件但经</w:t>
            </w:r>
            <w:proofErr w:type="gramEnd"/>
            <w:r w:rsidRPr="00E610AD">
              <w:rPr>
                <w:rFonts w:asciiTheme="minorEastAsia" w:hAnsiTheme="minorEastAsia" w:cs="宋体"/>
                <w:kern w:val="0"/>
                <w:sz w:val="20"/>
                <w:szCs w:val="20"/>
              </w:rPr>
              <w:t>查投诉反映情况严重失实，不应救助的，不扣分；有投诉件经查情况基本属实，但不应救助的，扣2分/件；年内投诉处理件查实应</w:t>
            </w:r>
            <w:proofErr w:type="gramStart"/>
            <w:r w:rsidRPr="00E610AD">
              <w:rPr>
                <w:rFonts w:asciiTheme="minorEastAsia" w:hAnsiTheme="minorEastAsia" w:cs="宋体"/>
                <w:kern w:val="0"/>
                <w:sz w:val="20"/>
                <w:szCs w:val="20"/>
              </w:rPr>
              <w:t>救未救</w:t>
            </w:r>
            <w:proofErr w:type="gramEnd"/>
            <w:r w:rsidRPr="00E610AD">
              <w:rPr>
                <w:rFonts w:asciiTheme="minorEastAsia" w:hAnsiTheme="minorEastAsia" w:cs="宋体"/>
                <w:kern w:val="0"/>
                <w:sz w:val="20"/>
                <w:szCs w:val="20"/>
              </w:rPr>
              <w:t>的，不得分。</w:t>
            </w:r>
          </w:p>
        </w:tc>
        <w:tc>
          <w:tcPr>
            <w:tcW w:w="62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4</w:t>
            </w:r>
          </w:p>
        </w:tc>
      </w:tr>
      <w:tr w:rsidR="00083724" w:rsidRPr="00083724" w:rsidTr="00083724">
        <w:trPr>
          <w:trHeight w:val="1170"/>
        </w:trPr>
        <w:tc>
          <w:tcPr>
            <w:tcW w:w="582"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48" w:type="dxa"/>
            <w:vMerge/>
            <w:tcBorders>
              <w:top w:val="nil"/>
              <w:left w:val="single" w:sz="4" w:space="0" w:color="auto"/>
              <w:bottom w:val="nil"/>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60" w:type="dxa"/>
            <w:vMerge w:val="restart"/>
            <w:tcBorders>
              <w:top w:val="nil"/>
              <w:left w:val="single" w:sz="4" w:space="0" w:color="auto"/>
              <w:bottom w:val="nil"/>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受理经办规范</w:t>
            </w: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kern w:val="0"/>
                <w:sz w:val="20"/>
                <w:szCs w:val="20"/>
              </w:rPr>
            </w:pPr>
            <w:r w:rsidRPr="00E610AD">
              <w:rPr>
                <w:rFonts w:asciiTheme="minorEastAsia" w:hAnsiTheme="minorEastAsia" w:cs="宋体"/>
                <w:kern w:val="0"/>
                <w:sz w:val="20"/>
                <w:szCs w:val="20"/>
              </w:rPr>
              <w:t>完善定期与不定期相结合的入户调查排摸制度，建立辖区内人员动态信息管理</w:t>
            </w:r>
            <w:proofErr w:type="gramStart"/>
            <w:r w:rsidRPr="00E610AD">
              <w:rPr>
                <w:rFonts w:asciiTheme="minorEastAsia" w:hAnsiTheme="minorEastAsia" w:cs="宋体"/>
                <w:kern w:val="0"/>
                <w:sz w:val="20"/>
                <w:szCs w:val="20"/>
              </w:rPr>
              <w:t>库且人员</w:t>
            </w:r>
            <w:proofErr w:type="gramEnd"/>
            <w:r w:rsidRPr="00E610AD">
              <w:rPr>
                <w:rFonts w:asciiTheme="minorEastAsia" w:hAnsiTheme="minorEastAsia" w:cs="宋体"/>
                <w:kern w:val="0"/>
                <w:sz w:val="20"/>
                <w:szCs w:val="20"/>
              </w:rPr>
              <w:t>社会关系明确的，不扣分；建立救助对象信息库但更</w:t>
            </w:r>
            <w:bookmarkStart w:id="0" w:name="_GoBack"/>
            <w:bookmarkEnd w:id="0"/>
            <w:r w:rsidRPr="00E610AD">
              <w:rPr>
                <w:rFonts w:asciiTheme="minorEastAsia" w:hAnsiTheme="minorEastAsia" w:cs="宋体"/>
                <w:kern w:val="0"/>
                <w:sz w:val="20"/>
                <w:szCs w:val="20"/>
              </w:rPr>
              <w:t>新不及时的，扣2分；建立信息库但人员社会关系不明确的，扣3分；建立信息库但无人员社会关系的，扣4分；未建立信息库的，不得分。</w:t>
            </w:r>
          </w:p>
        </w:tc>
        <w:tc>
          <w:tcPr>
            <w:tcW w:w="62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8</w:t>
            </w:r>
          </w:p>
        </w:tc>
      </w:tr>
      <w:tr w:rsidR="00083724" w:rsidRPr="00083724" w:rsidTr="00083724">
        <w:trPr>
          <w:trHeight w:val="975"/>
        </w:trPr>
        <w:tc>
          <w:tcPr>
            <w:tcW w:w="582"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48" w:type="dxa"/>
            <w:vMerge/>
            <w:tcBorders>
              <w:top w:val="nil"/>
              <w:left w:val="single" w:sz="4" w:space="0" w:color="auto"/>
              <w:bottom w:val="nil"/>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60" w:type="dxa"/>
            <w:vMerge/>
            <w:tcBorders>
              <w:top w:val="nil"/>
              <w:left w:val="single" w:sz="4" w:space="0" w:color="auto"/>
              <w:bottom w:val="nil"/>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kern w:val="0"/>
                <w:sz w:val="20"/>
                <w:szCs w:val="20"/>
              </w:rPr>
            </w:pPr>
            <w:r w:rsidRPr="00E610AD">
              <w:rPr>
                <w:rFonts w:asciiTheme="minorEastAsia" w:hAnsiTheme="minorEastAsia" w:cs="宋体"/>
                <w:kern w:val="0"/>
                <w:sz w:val="20"/>
                <w:szCs w:val="20"/>
              </w:rPr>
              <w:t>申请审批表格内容及附件齐全有效、填报完整、准确、填写内容清晰无涂改的且盖章签字确认的，不扣分；表格内容不完整或未盖章签字、附件无效或不齐全及填写内容涂改的，每处扣2分，直至扣完。</w:t>
            </w:r>
          </w:p>
        </w:tc>
        <w:tc>
          <w:tcPr>
            <w:tcW w:w="62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6</w:t>
            </w:r>
          </w:p>
        </w:tc>
      </w:tr>
      <w:tr w:rsidR="00083724" w:rsidRPr="00083724" w:rsidTr="00083724">
        <w:trPr>
          <w:trHeight w:val="945"/>
        </w:trPr>
        <w:tc>
          <w:tcPr>
            <w:tcW w:w="582"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48" w:type="dxa"/>
            <w:vMerge/>
            <w:tcBorders>
              <w:top w:val="nil"/>
              <w:left w:val="single" w:sz="4" w:space="0" w:color="auto"/>
              <w:bottom w:val="nil"/>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60" w:type="dxa"/>
            <w:vMerge/>
            <w:tcBorders>
              <w:top w:val="nil"/>
              <w:left w:val="single" w:sz="4" w:space="0" w:color="auto"/>
              <w:bottom w:val="nil"/>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kern w:val="0"/>
                <w:sz w:val="20"/>
                <w:szCs w:val="20"/>
              </w:rPr>
            </w:pPr>
            <w:r w:rsidRPr="00E610AD">
              <w:rPr>
                <w:rFonts w:asciiTheme="minorEastAsia" w:hAnsiTheme="minorEastAsia" w:cs="宋体"/>
                <w:kern w:val="0"/>
                <w:sz w:val="20"/>
                <w:szCs w:val="20"/>
              </w:rPr>
              <w:t>积极配合社</w:t>
            </w:r>
            <w:proofErr w:type="gramStart"/>
            <w:r w:rsidRPr="00E610AD">
              <w:rPr>
                <w:rFonts w:asciiTheme="minorEastAsia" w:hAnsiTheme="minorEastAsia" w:cs="宋体"/>
                <w:kern w:val="0"/>
                <w:sz w:val="20"/>
                <w:szCs w:val="20"/>
              </w:rPr>
              <w:t>救部门</w:t>
            </w:r>
            <w:proofErr w:type="gramEnd"/>
            <w:r w:rsidRPr="00E610AD">
              <w:rPr>
                <w:rFonts w:asciiTheme="minorEastAsia" w:hAnsiTheme="minorEastAsia" w:cs="宋体"/>
                <w:kern w:val="0"/>
                <w:sz w:val="20"/>
                <w:szCs w:val="20"/>
              </w:rPr>
              <w:t>做好申请家庭基本情况调查及收入核对、救助复审等日常交办的救助工作，不扣分；配合不主动，完成不及时的，受助对象有重大变动情况不及时沟通上报的，作适当扣分。</w:t>
            </w:r>
          </w:p>
        </w:tc>
        <w:tc>
          <w:tcPr>
            <w:tcW w:w="62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4</w:t>
            </w:r>
          </w:p>
        </w:tc>
      </w:tr>
      <w:tr w:rsidR="00083724" w:rsidRPr="00083724" w:rsidTr="00083724">
        <w:trPr>
          <w:trHeight w:val="630"/>
        </w:trPr>
        <w:tc>
          <w:tcPr>
            <w:tcW w:w="582"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48" w:type="dxa"/>
            <w:vMerge/>
            <w:tcBorders>
              <w:top w:val="nil"/>
              <w:left w:val="single" w:sz="4" w:space="0" w:color="auto"/>
              <w:bottom w:val="nil"/>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60" w:type="dxa"/>
            <w:vMerge/>
            <w:tcBorders>
              <w:top w:val="nil"/>
              <w:left w:val="single" w:sz="4" w:space="0" w:color="auto"/>
              <w:bottom w:val="nil"/>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kern w:val="0"/>
                <w:sz w:val="20"/>
                <w:szCs w:val="20"/>
              </w:rPr>
            </w:pPr>
            <w:r w:rsidRPr="00E610AD">
              <w:rPr>
                <w:rFonts w:asciiTheme="minorEastAsia" w:hAnsiTheme="minorEastAsia" w:cs="宋体"/>
                <w:kern w:val="0"/>
                <w:sz w:val="20"/>
                <w:szCs w:val="20"/>
              </w:rPr>
              <w:t>积极参与并组织辖区</w:t>
            </w:r>
            <w:proofErr w:type="gramStart"/>
            <w:r w:rsidRPr="00E610AD">
              <w:rPr>
                <w:rFonts w:asciiTheme="minorEastAsia" w:hAnsiTheme="minorEastAsia" w:cs="宋体"/>
                <w:kern w:val="0"/>
                <w:sz w:val="20"/>
                <w:szCs w:val="20"/>
              </w:rPr>
              <w:t>内对象</w:t>
            </w:r>
            <w:proofErr w:type="gramEnd"/>
            <w:r w:rsidRPr="00E610AD">
              <w:rPr>
                <w:rFonts w:asciiTheme="minorEastAsia" w:hAnsiTheme="minorEastAsia" w:cs="宋体"/>
                <w:kern w:val="0"/>
                <w:sz w:val="20"/>
                <w:szCs w:val="20"/>
              </w:rPr>
              <w:t>参加公益活动、募捐活动等的，不扣分；不积极参与或组织活动的，不得分。</w:t>
            </w:r>
          </w:p>
        </w:tc>
        <w:tc>
          <w:tcPr>
            <w:tcW w:w="62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2</w:t>
            </w:r>
          </w:p>
        </w:tc>
      </w:tr>
      <w:tr w:rsidR="00083724" w:rsidRPr="00083724" w:rsidTr="00083724">
        <w:trPr>
          <w:trHeight w:val="945"/>
        </w:trPr>
        <w:tc>
          <w:tcPr>
            <w:tcW w:w="582"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48" w:type="dxa"/>
            <w:vMerge/>
            <w:tcBorders>
              <w:top w:val="nil"/>
              <w:left w:val="single" w:sz="4" w:space="0" w:color="auto"/>
              <w:bottom w:val="nil"/>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60" w:type="dxa"/>
            <w:vMerge/>
            <w:tcBorders>
              <w:top w:val="nil"/>
              <w:left w:val="single" w:sz="4" w:space="0" w:color="auto"/>
              <w:bottom w:val="nil"/>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839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kern w:val="0"/>
                <w:sz w:val="20"/>
                <w:szCs w:val="20"/>
              </w:rPr>
            </w:pPr>
            <w:r w:rsidRPr="00E610AD">
              <w:rPr>
                <w:rFonts w:asciiTheme="minorEastAsia" w:hAnsiTheme="minorEastAsia" w:cs="宋体"/>
                <w:kern w:val="0"/>
                <w:sz w:val="20"/>
                <w:szCs w:val="20"/>
              </w:rPr>
              <w:t>遇到辖区内突发紧急事件，事先做出及时受理上报并积极配合的，不扣分；事发后上报但处置及时，未造成不良影响的，扣2分；事发后上报，造成不良影响的扣3分；造成严重影响的，不得分。</w:t>
            </w:r>
          </w:p>
        </w:tc>
        <w:tc>
          <w:tcPr>
            <w:tcW w:w="62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6</w:t>
            </w:r>
          </w:p>
        </w:tc>
      </w:tr>
      <w:tr w:rsidR="00083724" w:rsidRPr="00083724" w:rsidTr="00083724">
        <w:trPr>
          <w:trHeight w:val="1185"/>
        </w:trPr>
        <w:tc>
          <w:tcPr>
            <w:tcW w:w="582" w:type="dxa"/>
            <w:vMerge/>
            <w:tcBorders>
              <w:top w:val="nil"/>
              <w:left w:val="single" w:sz="4" w:space="0" w:color="auto"/>
              <w:bottom w:val="single" w:sz="4" w:space="0" w:color="auto"/>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48" w:type="dxa"/>
            <w:vMerge/>
            <w:tcBorders>
              <w:top w:val="nil"/>
              <w:left w:val="single" w:sz="4" w:space="0" w:color="auto"/>
              <w:bottom w:val="nil"/>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2060" w:type="dxa"/>
            <w:vMerge/>
            <w:tcBorders>
              <w:top w:val="nil"/>
              <w:left w:val="single" w:sz="4" w:space="0" w:color="auto"/>
              <w:bottom w:val="nil"/>
              <w:right w:val="single" w:sz="4" w:space="0" w:color="auto"/>
            </w:tcBorders>
            <w:vAlign w:val="center"/>
            <w:hideMark/>
          </w:tcPr>
          <w:p w:rsidR="00083724" w:rsidRPr="00E610AD" w:rsidRDefault="00083724" w:rsidP="00083724">
            <w:pPr>
              <w:widowControl/>
              <w:jc w:val="left"/>
              <w:rPr>
                <w:rFonts w:asciiTheme="minorEastAsia" w:hAnsiTheme="minorEastAsia" w:cs="宋体"/>
                <w:kern w:val="0"/>
                <w:sz w:val="20"/>
                <w:szCs w:val="20"/>
              </w:rPr>
            </w:pPr>
          </w:p>
        </w:tc>
        <w:tc>
          <w:tcPr>
            <w:tcW w:w="8390" w:type="dxa"/>
            <w:tcBorders>
              <w:top w:val="nil"/>
              <w:left w:val="nil"/>
              <w:bottom w:val="nil"/>
              <w:right w:val="single" w:sz="4" w:space="0" w:color="auto"/>
            </w:tcBorders>
            <w:shd w:val="clear" w:color="auto" w:fill="auto"/>
            <w:vAlign w:val="center"/>
            <w:hideMark/>
          </w:tcPr>
          <w:p w:rsidR="00083724" w:rsidRPr="00E610AD" w:rsidRDefault="00083724" w:rsidP="00083724">
            <w:pPr>
              <w:widowControl/>
              <w:jc w:val="left"/>
              <w:rPr>
                <w:rFonts w:asciiTheme="minorEastAsia" w:hAnsiTheme="minorEastAsia" w:cs="宋体"/>
                <w:kern w:val="0"/>
                <w:sz w:val="20"/>
                <w:szCs w:val="20"/>
              </w:rPr>
            </w:pPr>
            <w:r w:rsidRPr="00E610AD">
              <w:rPr>
                <w:rFonts w:asciiTheme="minorEastAsia" w:hAnsiTheme="minorEastAsia" w:cs="宋体"/>
                <w:kern w:val="0"/>
                <w:sz w:val="20"/>
                <w:szCs w:val="20"/>
              </w:rPr>
              <w:t>社会救助及慈善帮扶资金、物品及时足额发放到位且实名签收的，不扣分；发放手续规范，但存在少许</w:t>
            </w:r>
            <w:proofErr w:type="gramStart"/>
            <w:r w:rsidRPr="00E610AD">
              <w:rPr>
                <w:rFonts w:asciiTheme="minorEastAsia" w:hAnsiTheme="minorEastAsia" w:cs="宋体"/>
                <w:kern w:val="0"/>
                <w:sz w:val="20"/>
                <w:szCs w:val="20"/>
              </w:rPr>
              <w:t>暇疵</w:t>
            </w:r>
            <w:proofErr w:type="gramEnd"/>
            <w:r w:rsidRPr="00E610AD">
              <w:rPr>
                <w:rFonts w:asciiTheme="minorEastAsia" w:hAnsiTheme="minorEastAsia" w:cs="宋体"/>
                <w:kern w:val="0"/>
                <w:sz w:val="20"/>
                <w:szCs w:val="20"/>
              </w:rPr>
              <w:t>的，扣2分；发放手续不规范，存在隐患的，扣4分；发放金额与标准有出入的，扣6分；无发放手续的，扣8分；无发放手续，且款物发放不到位的，不得分。</w:t>
            </w:r>
          </w:p>
        </w:tc>
        <w:tc>
          <w:tcPr>
            <w:tcW w:w="620" w:type="dxa"/>
            <w:tcBorders>
              <w:top w:val="nil"/>
              <w:left w:val="nil"/>
              <w:bottom w:val="nil"/>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10</w:t>
            </w:r>
          </w:p>
        </w:tc>
      </w:tr>
      <w:tr w:rsidR="00083724" w:rsidRPr="00083724" w:rsidTr="00083724">
        <w:trPr>
          <w:trHeight w:val="450"/>
        </w:trPr>
        <w:tc>
          <w:tcPr>
            <w:tcW w:w="4690" w:type="dxa"/>
            <w:gridSpan w:val="3"/>
            <w:tcBorders>
              <w:top w:val="single" w:sz="4" w:space="0" w:color="auto"/>
              <w:left w:val="single" w:sz="4" w:space="0" w:color="auto"/>
              <w:bottom w:val="single" w:sz="4" w:space="0" w:color="auto"/>
              <w:right w:val="single" w:sz="4" w:space="0" w:color="auto"/>
            </w:tcBorders>
            <w:shd w:val="clear" w:color="000000" w:fill="FFFFFF"/>
            <w:vAlign w:val="center"/>
            <w:hideMark/>
          </w:tcPr>
          <w:p w:rsidR="00083724" w:rsidRPr="00E610AD" w:rsidRDefault="00083724" w:rsidP="00083724">
            <w:pPr>
              <w:widowControl/>
              <w:jc w:val="center"/>
              <w:rPr>
                <w:rFonts w:asciiTheme="minorEastAsia" w:hAnsiTheme="minorEastAsia" w:cs="宋体"/>
                <w:b/>
                <w:bCs/>
                <w:kern w:val="0"/>
                <w:sz w:val="20"/>
                <w:szCs w:val="20"/>
              </w:rPr>
            </w:pPr>
            <w:r w:rsidRPr="00E610AD">
              <w:rPr>
                <w:rFonts w:asciiTheme="minorEastAsia" w:hAnsiTheme="minorEastAsia" w:cs="宋体"/>
                <w:b/>
                <w:bCs/>
                <w:kern w:val="0"/>
                <w:sz w:val="20"/>
                <w:szCs w:val="20"/>
              </w:rPr>
              <w:t>合计</w:t>
            </w:r>
          </w:p>
        </w:tc>
        <w:tc>
          <w:tcPr>
            <w:tcW w:w="8390" w:type="dxa"/>
            <w:tcBorders>
              <w:top w:val="single" w:sz="4" w:space="0" w:color="auto"/>
              <w:left w:val="nil"/>
              <w:bottom w:val="single" w:sz="4" w:space="0" w:color="auto"/>
              <w:right w:val="single" w:sz="4" w:space="0" w:color="auto"/>
            </w:tcBorders>
            <w:shd w:val="clear" w:color="000000" w:fill="FFFFFF"/>
            <w:vAlign w:val="center"/>
            <w:hideMark/>
          </w:tcPr>
          <w:p w:rsidR="00083724" w:rsidRPr="00E610AD" w:rsidRDefault="00083724" w:rsidP="00083724">
            <w:pPr>
              <w:widowControl/>
              <w:jc w:val="center"/>
              <w:rPr>
                <w:rFonts w:asciiTheme="minorEastAsia" w:hAnsiTheme="minorEastAsia" w:cs="宋体"/>
                <w:b/>
                <w:bCs/>
                <w:kern w:val="0"/>
                <w:sz w:val="20"/>
                <w:szCs w:val="20"/>
              </w:rPr>
            </w:pPr>
            <w:r w:rsidRPr="00E610AD">
              <w:rPr>
                <w:rFonts w:asciiTheme="minorEastAsia" w:hAnsiTheme="minorEastAsia" w:cs="宋体"/>
                <w:b/>
                <w:bCs/>
                <w:kern w:val="0"/>
                <w:sz w:val="20"/>
                <w:szCs w:val="20"/>
              </w:rPr>
              <w:t xml:space="preserve">　</w:t>
            </w:r>
          </w:p>
        </w:tc>
        <w:tc>
          <w:tcPr>
            <w:tcW w:w="620" w:type="dxa"/>
            <w:tcBorders>
              <w:top w:val="single" w:sz="4" w:space="0" w:color="auto"/>
              <w:left w:val="nil"/>
              <w:bottom w:val="single" w:sz="4" w:space="0" w:color="auto"/>
              <w:right w:val="single" w:sz="4" w:space="0" w:color="auto"/>
            </w:tcBorders>
            <w:shd w:val="clear" w:color="000000" w:fill="FFFFFF"/>
            <w:vAlign w:val="center"/>
            <w:hideMark/>
          </w:tcPr>
          <w:p w:rsidR="00083724" w:rsidRPr="00E610AD" w:rsidRDefault="00083724" w:rsidP="00083724">
            <w:pPr>
              <w:widowControl/>
              <w:jc w:val="center"/>
              <w:rPr>
                <w:rFonts w:asciiTheme="minorEastAsia" w:hAnsiTheme="minorEastAsia" w:cs="宋体"/>
                <w:b/>
                <w:bCs/>
                <w:kern w:val="0"/>
                <w:sz w:val="20"/>
                <w:szCs w:val="20"/>
              </w:rPr>
            </w:pPr>
            <w:r w:rsidRPr="00E610AD">
              <w:rPr>
                <w:rFonts w:asciiTheme="minorEastAsia" w:hAnsiTheme="minorEastAsia" w:cs="宋体"/>
                <w:b/>
                <w:bCs/>
                <w:kern w:val="0"/>
                <w:sz w:val="20"/>
                <w:szCs w:val="20"/>
              </w:rPr>
              <w:t>100</w:t>
            </w:r>
          </w:p>
        </w:tc>
      </w:tr>
      <w:tr w:rsidR="00083724" w:rsidRPr="00083724" w:rsidTr="00A51B73">
        <w:trPr>
          <w:trHeight w:val="289"/>
        </w:trPr>
        <w:tc>
          <w:tcPr>
            <w:tcW w:w="1370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083724" w:rsidRPr="00E610AD" w:rsidRDefault="00083724" w:rsidP="00083724">
            <w:pPr>
              <w:widowControl/>
              <w:jc w:val="center"/>
              <w:rPr>
                <w:rFonts w:asciiTheme="minorEastAsia" w:hAnsiTheme="minorEastAsia" w:cs="宋体"/>
                <w:b/>
                <w:bCs/>
                <w:kern w:val="0"/>
                <w:sz w:val="20"/>
                <w:szCs w:val="20"/>
              </w:rPr>
            </w:pPr>
            <w:r w:rsidRPr="00E610AD">
              <w:rPr>
                <w:rFonts w:asciiTheme="minorEastAsia" w:hAnsiTheme="minorEastAsia" w:cs="宋体"/>
                <w:b/>
                <w:bCs/>
                <w:kern w:val="0"/>
                <w:sz w:val="20"/>
                <w:szCs w:val="20"/>
              </w:rPr>
              <w:t>加分项</w:t>
            </w:r>
          </w:p>
        </w:tc>
      </w:tr>
      <w:tr w:rsidR="00083724" w:rsidRPr="00083724" w:rsidTr="00A51B73">
        <w:trPr>
          <w:trHeight w:val="535"/>
        </w:trPr>
        <w:tc>
          <w:tcPr>
            <w:tcW w:w="13080" w:type="dxa"/>
            <w:gridSpan w:val="4"/>
            <w:tcBorders>
              <w:top w:val="single" w:sz="4" w:space="0" w:color="auto"/>
              <w:left w:val="single" w:sz="4" w:space="0" w:color="auto"/>
              <w:bottom w:val="single" w:sz="4" w:space="0" w:color="auto"/>
              <w:right w:val="single" w:sz="4" w:space="0" w:color="000000"/>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在群体性劳资纠纷处置和规范劳动力市场秩序方面有突出表现，工作被区级及以上部门认可的，每次加2分；被镇级相关部门认可的，每次加1分。</w:t>
            </w:r>
          </w:p>
        </w:tc>
        <w:tc>
          <w:tcPr>
            <w:tcW w:w="620" w:type="dxa"/>
            <w:tcBorders>
              <w:top w:val="nil"/>
              <w:left w:val="nil"/>
              <w:bottom w:val="single" w:sz="4" w:space="0" w:color="auto"/>
              <w:right w:val="single" w:sz="4" w:space="0" w:color="auto"/>
            </w:tcBorders>
            <w:shd w:val="clear" w:color="auto" w:fill="auto"/>
            <w:vAlign w:val="center"/>
            <w:hideMark/>
          </w:tcPr>
          <w:p w:rsidR="00083724" w:rsidRPr="00E610AD" w:rsidRDefault="00083724" w:rsidP="00083724">
            <w:pPr>
              <w:widowControl/>
              <w:jc w:val="center"/>
              <w:rPr>
                <w:rFonts w:asciiTheme="minorEastAsia" w:hAnsiTheme="minorEastAsia" w:cs="宋体"/>
                <w:kern w:val="0"/>
                <w:sz w:val="20"/>
                <w:szCs w:val="20"/>
              </w:rPr>
            </w:pPr>
            <w:r w:rsidRPr="00E610AD">
              <w:rPr>
                <w:rFonts w:asciiTheme="minorEastAsia" w:hAnsiTheme="minorEastAsia" w:cs="宋体"/>
                <w:kern w:val="0"/>
                <w:sz w:val="20"/>
                <w:szCs w:val="20"/>
              </w:rPr>
              <w:t>5</w:t>
            </w:r>
          </w:p>
        </w:tc>
      </w:tr>
    </w:tbl>
    <w:p w:rsidR="00331876" w:rsidRDefault="00331876" w:rsidP="00083724"/>
    <w:sectPr w:rsidR="00331876" w:rsidSect="00083724">
      <w:pgSz w:w="16838" w:h="11906" w:orient="landscape"/>
      <w:pgMar w:top="737" w:right="851" w:bottom="794" w:left="1021"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3724"/>
    <w:rsid w:val="00083724"/>
    <w:rsid w:val="00331876"/>
    <w:rsid w:val="00A51B73"/>
    <w:rsid w:val="00B32002"/>
    <w:rsid w:val="00E610A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04878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2</Pages>
  <Words>263</Words>
  <Characters>1502</Characters>
  <Application>Microsoft Office Word</Application>
  <DocSecurity>0</DocSecurity>
  <Lines>12</Lines>
  <Paragraphs>3</Paragraphs>
  <ScaleCrop>false</ScaleCrop>
  <Company>Microsoft</Company>
  <LinksUpToDate>false</LinksUpToDate>
  <CharactersWithSpaces>1762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金格科技</dc:creator>
  <cp:lastModifiedBy>金格科技</cp:lastModifiedBy>
  <cp:revision>4</cp:revision>
  <dcterms:created xsi:type="dcterms:W3CDTF">2022-06-15T07:19:00Z</dcterms:created>
  <dcterms:modified xsi:type="dcterms:W3CDTF">2022-06-15T07:29:00Z</dcterms:modified>
</cp:coreProperties>
</file>